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531C02" w14:textId="4F747763" w:rsidR="009E1DD2" w:rsidRPr="00A8470C" w:rsidRDefault="009E1DD2" w:rsidP="009E1DD2">
      <w:pPr>
        <w:pStyle w:val="NormalWeb"/>
        <w:spacing w:before="225" w:beforeAutospacing="0" w:after="0" w:afterAutospacing="0"/>
        <w:rPr>
          <w:color w:val="000000"/>
        </w:rPr>
      </w:pPr>
      <w:r w:rsidRPr="00A8470C">
        <w:rPr>
          <w:color w:val="000000"/>
        </w:rPr>
        <w:t>[ART B</w:t>
      </w:r>
    </w:p>
    <w:p w14:paraId="027A1C4D" w14:textId="7089E640" w:rsidR="009E1DD2" w:rsidRPr="00A8470C" w:rsidRDefault="009E1DD2" w:rsidP="009E1DD2">
      <w:pPr>
        <w:pStyle w:val="NormalWeb"/>
        <w:spacing w:before="225" w:beforeAutospacing="0" w:after="0" w:afterAutospacing="0"/>
        <w:rPr>
          <w:color w:val="000000"/>
        </w:rPr>
      </w:pPr>
      <w:r w:rsidRPr="00A8470C">
        <w:rPr>
          <w:color w:val="000000"/>
        </w:rPr>
        <w:t>The purpose of this assignment is to explain core concepts related to stocks and to analyze the ethical implications of decisions and promote ethical standards within organizations.</w:t>
      </w:r>
    </w:p>
    <w:p w14:paraId="219C5C7D" w14:textId="77777777" w:rsidR="009E1DD2" w:rsidRPr="00A8470C" w:rsidRDefault="009E1DD2" w:rsidP="009E1DD2">
      <w:pPr>
        <w:pStyle w:val="NormalWeb"/>
        <w:spacing w:before="0" w:beforeAutospacing="0" w:after="0" w:afterAutospacing="0"/>
        <w:rPr>
          <w:color w:val="000000"/>
        </w:rPr>
      </w:pPr>
      <w:r w:rsidRPr="00A8470C">
        <w:rPr>
          <w:color w:val="000000"/>
        </w:rPr>
        <w:t xml:space="preserve">Read the Chapter 7 Mini Case on pages 339-341 in </w:t>
      </w:r>
      <w:r w:rsidRPr="00A8470C">
        <w:rPr>
          <w:rStyle w:val="Emphasis"/>
          <w:color w:val="000000"/>
          <w:bdr w:val="none" w:sz="0" w:space="0" w:color="auto" w:frame="1"/>
        </w:rPr>
        <w:t>Financial Management: Theory and Practice</w:t>
      </w:r>
      <w:r w:rsidRPr="00A8470C">
        <w:rPr>
          <w:color w:val="000000"/>
        </w:rPr>
        <w:t>. Using complete sentences and academic vocabulary, please answer questions a through d.</w:t>
      </w:r>
    </w:p>
    <w:p w14:paraId="0694E8D4" w14:textId="0C3DB13F" w:rsidR="009E1DD2" w:rsidRPr="00A8470C" w:rsidRDefault="009E1DD2" w:rsidP="009E1DD2">
      <w:pPr>
        <w:pStyle w:val="NormalWeb"/>
        <w:spacing w:before="225" w:beforeAutospacing="0" w:after="0" w:afterAutospacing="0"/>
        <w:rPr>
          <w:color w:val="000000"/>
        </w:rPr>
      </w:pPr>
      <w:r w:rsidRPr="00A8470C">
        <w:rPr>
          <w:color w:val="000000"/>
        </w:rPr>
        <w:t>Using the mini case information, write a 250-500 word report presenting potential ethical issues that may arise from expanding into other related fields. In your discussion, proactively strategize about possible expansion by explaining opportunities to promote ethical standards within your organization.</w:t>
      </w:r>
    </w:p>
    <w:p w14:paraId="35C56394" w14:textId="77777777" w:rsidR="009E1DD2" w:rsidRPr="00A8470C" w:rsidRDefault="009E1DD2" w:rsidP="009E1DD2">
      <w:pPr>
        <w:pStyle w:val="NormalWeb"/>
        <w:spacing w:before="225" w:beforeAutospacing="0" w:after="0" w:afterAutospacing="0"/>
        <w:rPr>
          <w:color w:val="000000"/>
        </w:rPr>
      </w:pPr>
    </w:p>
    <w:p w14:paraId="19B4C716" w14:textId="257DD209" w:rsidR="008B3952" w:rsidRPr="00A8470C" w:rsidRDefault="009E1DD2">
      <w:pPr>
        <w:rPr>
          <w:rFonts w:ascii="Times New Roman" w:hAnsi="Times New Roman" w:cs="Times New Roman"/>
          <w:sz w:val="24"/>
          <w:szCs w:val="24"/>
        </w:rPr>
      </w:pPr>
      <w:r w:rsidRPr="00A8470C">
        <w:rPr>
          <w:rFonts w:ascii="Times New Roman" w:hAnsi="Times New Roman" w:cs="Times New Roman"/>
          <w:noProof/>
          <w:sz w:val="24"/>
          <w:szCs w:val="24"/>
        </w:rPr>
        <w:drawing>
          <wp:inline distT="0" distB="0" distL="0" distR="0" wp14:anchorId="7C0E8496" wp14:editId="1EFB5944">
            <wp:extent cx="5943600" cy="465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657725"/>
                    </a:xfrm>
                    <a:prstGeom prst="rect">
                      <a:avLst/>
                    </a:prstGeom>
                    <a:noFill/>
                    <a:ln>
                      <a:noFill/>
                    </a:ln>
                  </pic:spPr>
                </pic:pic>
              </a:graphicData>
            </a:graphic>
          </wp:inline>
        </w:drawing>
      </w:r>
    </w:p>
    <w:p w14:paraId="66EF7A8F" w14:textId="133BFD78" w:rsidR="009E1DD2" w:rsidRPr="00A8470C" w:rsidRDefault="00082B04" w:rsidP="001D20A6">
      <w:pPr>
        <w:pStyle w:val="ListParagraph"/>
        <w:numPr>
          <w:ilvl w:val="0"/>
          <w:numId w:val="1"/>
        </w:numPr>
        <w:rPr>
          <w:rFonts w:ascii="Times New Roman" w:hAnsi="Times New Roman" w:cs="Times New Roman"/>
          <w:sz w:val="24"/>
          <w:szCs w:val="24"/>
        </w:rPr>
      </w:pPr>
      <w:r w:rsidRPr="00A8470C">
        <w:rPr>
          <w:rFonts w:ascii="Times New Roman" w:hAnsi="Times New Roman" w:cs="Times New Roman"/>
          <w:sz w:val="24"/>
          <w:szCs w:val="24"/>
        </w:rPr>
        <w:t xml:space="preserve">Common shareholders have been bestowed with several legal rights and privileges which they enjoy. These rights and privileges include electing of the firm’s director </w:t>
      </w:r>
      <w:r w:rsidR="0021680B" w:rsidRPr="00A8470C">
        <w:rPr>
          <w:rFonts w:ascii="Times New Roman" w:hAnsi="Times New Roman" w:cs="Times New Roman"/>
          <w:sz w:val="24"/>
          <w:szCs w:val="24"/>
        </w:rPr>
        <w:t xml:space="preserve">and authority to purchase additional shares. </w:t>
      </w:r>
      <w:r w:rsidR="004E499E" w:rsidRPr="00A8470C">
        <w:rPr>
          <w:rFonts w:ascii="Times New Roman" w:hAnsi="Times New Roman" w:cs="Times New Roman"/>
          <w:sz w:val="24"/>
          <w:szCs w:val="24"/>
        </w:rPr>
        <w:t>Traditionary, common share holders have more privileges compared to their counterparts. They can be elected or participate in electing firm’s directors.</w:t>
      </w:r>
    </w:p>
    <w:p w14:paraId="35915F88" w14:textId="77777777" w:rsidR="00DE5DFE" w:rsidRPr="00A8470C" w:rsidRDefault="00DE5DFE" w:rsidP="00DE5DFE">
      <w:pPr>
        <w:pStyle w:val="ListParagraph"/>
        <w:numPr>
          <w:ilvl w:val="0"/>
          <w:numId w:val="1"/>
        </w:numPr>
        <w:rPr>
          <w:rFonts w:ascii="Times New Roman" w:hAnsi="Times New Roman" w:cs="Times New Roman"/>
          <w:sz w:val="24"/>
          <w:szCs w:val="24"/>
        </w:rPr>
      </w:pPr>
      <w:r w:rsidRPr="00A8470C">
        <w:rPr>
          <w:rFonts w:ascii="Times New Roman" w:hAnsi="Times New Roman" w:cs="Times New Roman"/>
          <w:sz w:val="24"/>
          <w:szCs w:val="24"/>
        </w:rPr>
        <w:lastRenderedPageBreak/>
        <w:t xml:space="preserve">Free cash flow (FCF) is the cash flow available for distribution to all of a company’s investors. FCF is generated by a company’s operations. </w:t>
      </w:r>
    </w:p>
    <w:p w14:paraId="1018E518" w14:textId="7CD7FD3C" w:rsidR="00A8470C" w:rsidRPr="00A8470C" w:rsidRDefault="00A8470C" w:rsidP="00A8470C">
      <w:pPr>
        <w:pStyle w:val="ListParagraph"/>
        <w:rPr>
          <w:rFonts w:ascii="Times New Roman" w:hAnsi="Times New Roman" w:cs="Times New Roman"/>
          <w:sz w:val="24"/>
          <w:szCs w:val="24"/>
        </w:rPr>
      </w:pPr>
      <w:r w:rsidRPr="00A8470C">
        <w:rPr>
          <w:rFonts w:ascii="Times New Roman" w:hAnsi="Times New Roman" w:cs="Times New Roman"/>
          <w:sz w:val="24"/>
          <w:szCs w:val="24"/>
        </w:rPr>
        <w:t xml:space="preserve">Solution </w:t>
      </w:r>
    </w:p>
    <w:p w14:paraId="051ADC70" w14:textId="646378B7" w:rsidR="00A8470C" w:rsidRPr="00A8470C" w:rsidRDefault="00A8470C" w:rsidP="00A8470C">
      <w:pPr>
        <w:pStyle w:val="ListParagraph"/>
        <w:rPr>
          <w:rFonts w:ascii="Times New Roman" w:hAnsi="Times New Roman" w:cs="Times New Roman"/>
          <w:sz w:val="24"/>
          <w:szCs w:val="24"/>
        </w:rPr>
      </w:pPr>
      <w:r w:rsidRPr="00A8470C">
        <w:rPr>
          <w:rFonts w:ascii="Times New Roman" w:hAnsi="Times New Roman" w:cs="Times New Roman"/>
          <w:sz w:val="24"/>
          <w:szCs w:val="24"/>
        </w:rPr>
        <w:t>Free cash flow of the firm will be = 24,000,000* (1+0.05) / (0.11 – 0.05) = 420 Million</w:t>
      </w:r>
    </w:p>
    <w:p w14:paraId="5E43A6D1" w14:textId="6C7FF6C4" w:rsidR="00A8470C" w:rsidRPr="00A8470C" w:rsidRDefault="00A8470C" w:rsidP="00A8470C">
      <w:pPr>
        <w:pStyle w:val="ListParagraph"/>
        <w:rPr>
          <w:rFonts w:ascii="Times New Roman" w:hAnsi="Times New Roman" w:cs="Times New Roman"/>
          <w:sz w:val="24"/>
          <w:szCs w:val="24"/>
        </w:rPr>
      </w:pPr>
      <w:r w:rsidRPr="00A8470C">
        <w:rPr>
          <w:rFonts w:ascii="Times New Roman" w:hAnsi="Times New Roman" w:cs="Times New Roman"/>
          <w:sz w:val="24"/>
          <w:szCs w:val="24"/>
        </w:rPr>
        <w:t>Debt = 200 Million, Preferred stock of $50 million.</w:t>
      </w:r>
    </w:p>
    <w:p w14:paraId="042AAA3A" w14:textId="1372A9BB" w:rsidR="00A8470C" w:rsidRPr="00A8470C" w:rsidRDefault="00A8470C" w:rsidP="00A8470C">
      <w:pPr>
        <w:pStyle w:val="ListParagraph"/>
        <w:rPr>
          <w:rFonts w:ascii="Times New Roman" w:hAnsi="Times New Roman" w:cs="Times New Roman"/>
          <w:sz w:val="24"/>
          <w:szCs w:val="24"/>
        </w:rPr>
      </w:pPr>
      <w:r w:rsidRPr="00A8470C">
        <w:rPr>
          <w:rFonts w:ascii="Times New Roman" w:hAnsi="Times New Roman" w:cs="Times New Roman"/>
          <w:sz w:val="24"/>
          <w:szCs w:val="24"/>
        </w:rPr>
        <w:t>Therefore, FCFE = 420M – 200M – 50M = $170M</w:t>
      </w:r>
    </w:p>
    <w:p w14:paraId="571AE7AF" w14:textId="77777777" w:rsidR="00A8470C" w:rsidRPr="00A8470C" w:rsidRDefault="00A8470C" w:rsidP="00A8470C">
      <w:pPr>
        <w:pStyle w:val="ListParagraph"/>
        <w:rPr>
          <w:rFonts w:ascii="Times New Roman" w:hAnsi="Times New Roman" w:cs="Times New Roman"/>
          <w:sz w:val="24"/>
          <w:szCs w:val="24"/>
        </w:rPr>
      </w:pPr>
    </w:p>
    <w:p w14:paraId="7F779645" w14:textId="250ABDB9" w:rsidR="009A25C8" w:rsidRPr="00A8470C" w:rsidRDefault="00DE5DFE" w:rsidP="00DE5DFE">
      <w:pPr>
        <w:pStyle w:val="ListParagraph"/>
        <w:rPr>
          <w:rFonts w:ascii="Times New Roman" w:hAnsi="Times New Roman" w:cs="Times New Roman"/>
          <w:sz w:val="24"/>
          <w:szCs w:val="24"/>
        </w:rPr>
      </w:pPr>
      <w:r w:rsidRPr="00A8470C">
        <w:rPr>
          <w:rFonts w:ascii="Times New Roman" w:hAnsi="Times New Roman" w:cs="Times New Roman"/>
          <w:sz w:val="24"/>
          <w:szCs w:val="24"/>
        </w:rPr>
        <w:t>The weighted average cost of capital (WACC) is the overall rate of return required by all of the company’s investors. The PV of their expected future free cash flows, discounted at the WACC, is the value of operations. This is the essence of the FCF valuation model.</w:t>
      </w:r>
    </w:p>
    <w:p w14:paraId="281D2977" w14:textId="449C86E4" w:rsidR="00DE5DFE" w:rsidRPr="00A8470C" w:rsidRDefault="00DE5DFE" w:rsidP="00DE5DFE">
      <w:pPr>
        <w:pStyle w:val="ListParagraph"/>
        <w:rPr>
          <w:rFonts w:ascii="Times New Roman" w:hAnsi="Times New Roman" w:cs="Times New Roman"/>
          <w:sz w:val="24"/>
          <w:szCs w:val="24"/>
        </w:rPr>
      </w:pPr>
      <w:r w:rsidRPr="00A8470C">
        <w:rPr>
          <w:rFonts w:ascii="Times New Roman" w:hAnsi="Times New Roman" w:cs="Times New Roman"/>
          <w:sz w:val="24"/>
          <w:szCs w:val="24"/>
        </w:rPr>
        <w:t>Nonoperating assets are marketable securities and ownership of non-controlling interest in another company. The value of nonoperating assets usually is very close to figure that is reported on balance sheets.</w:t>
      </w:r>
    </w:p>
    <w:p w14:paraId="531B7E99" w14:textId="1591BAF5" w:rsidR="00DE5DFE" w:rsidRPr="00A8470C" w:rsidRDefault="00DE5DFE" w:rsidP="00DE5DFE">
      <w:pPr>
        <w:pStyle w:val="ListParagraph"/>
        <w:numPr>
          <w:ilvl w:val="0"/>
          <w:numId w:val="1"/>
        </w:numPr>
        <w:rPr>
          <w:rFonts w:ascii="Times New Roman" w:hAnsi="Times New Roman" w:cs="Times New Roman"/>
          <w:sz w:val="24"/>
          <w:szCs w:val="24"/>
        </w:rPr>
      </w:pPr>
      <w:r w:rsidRPr="00A8470C">
        <w:rPr>
          <w:rFonts w:ascii="Times New Roman" w:hAnsi="Times New Roman" w:cs="Times New Roman"/>
          <w:sz w:val="24"/>
          <w:szCs w:val="24"/>
        </w:rPr>
        <w:t>Total corporate value is sum of value of operations and value of nonoperating assets. Some company’s also have growth options, but assume they are negligible for this company. Debtholders have first claim. Preferred stockholders have the next claim. Any remaining value belongs to stockholders.</w:t>
      </w:r>
    </w:p>
    <w:p w14:paraId="12BE113D" w14:textId="7B30B27E" w:rsidR="00DE5DFE" w:rsidRPr="00A8470C" w:rsidRDefault="002823CF" w:rsidP="00DE5DFE">
      <w:pPr>
        <w:pStyle w:val="ListParagraph"/>
        <w:rPr>
          <w:rFonts w:ascii="Times New Roman" w:hAnsi="Times New Roman" w:cs="Times New Roman"/>
          <w:sz w:val="24"/>
          <w:szCs w:val="24"/>
        </w:rPr>
      </w:pPr>
      <w:r w:rsidRPr="00A8470C">
        <w:rPr>
          <w:rFonts w:ascii="Times New Roman" w:hAnsi="Times New Roman" w:cs="Times New Roman"/>
          <w:noProof/>
          <w:sz w:val="24"/>
          <w:szCs w:val="24"/>
        </w:rPr>
        <w:drawing>
          <wp:inline distT="0" distB="0" distL="0" distR="0" wp14:anchorId="3828EC68" wp14:editId="15023537">
            <wp:extent cx="4572000" cy="2743200"/>
            <wp:effectExtent l="0" t="0" r="0" b="0"/>
            <wp:docPr id="2" name="Chart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D05A8842-3612-4A77-A8DA-C02E74C43D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63C91C0" w14:textId="4AB5B29A" w:rsidR="009A6477" w:rsidRPr="00A8470C" w:rsidRDefault="009A6477" w:rsidP="00DE5DFE">
      <w:pPr>
        <w:pStyle w:val="ListParagraph"/>
        <w:rPr>
          <w:rFonts w:ascii="Times New Roman" w:hAnsi="Times New Roman" w:cs="Times New Roman"/>
          <w:sz w:val="24"/>
          <w:szCs w:val="24"/>
        </w:rPr>
      </w:pPr>
      <w:r w:rsidRPr="00A8470C">
        <w:rPr>
          <w:rFonts w:ascii="Times New Roman" w:hAnsi="Times New Roman" w:cs="Times New Roman"/>
          <w:noProof/>
          <w:sz w:val="24"/>
          <w:szCs w:val="24"/>
        </w:rPr>
        <w:lastRenderedPageBreak/>
        <w:drawing>
          <wp:inline distT="0" distB="0" distL="0" distR="0" wp14:anchorId="3791A114" wp14:editId="68DD3BA7">
            <wp:extent cx="4572000" cy="2743200"/>
            <wp:effectExtent l="0" t="0" r="0" b="0"/>
            <wp:docPr id="3" name="Chart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13E31BC9-7D7F-48F0-A106-6F82988FFC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2A87836" w14:textId="2602CAA7" w:rsidR="00DE5DFE" w:rsidRPr="00A8470C" w:rsidRDefault="009A6477" w:rsidP="00DE5DFE">
      <w:pPr>
        <w:pStyle w:val="ListParagraph"/>
        <w:rPr>
          <w:rFonts w:ascii="Times New Roman" w:hAnsi="Times New Roman" w:cs="Times New Roman"/>
          <w:sz w:val="24"/>
          <w:szCs w:val="24"/>
        </w:rPr>
      </w:pPr>
      <w:r w:rsidRPr="00A8470C">
        <w:rPr>
          <w:rFonts w:ascii="Times New Roman" w:hAnsi="Times New Roman" w:cs="Times New Roman"/>
          <w:sz w:val="24"/>
          <w:szCs w:val="24"/>
        </w:rPr>
        <w:t xml:space="preserve"> Equity residual claim = 29%</w:t>
      </w:r>
    </w:p>
    <w:p w14:paraId="54253731" w14:textId="22BC887C" w:rsidR="009A6477" w:rsidRPr="00A8470C" w:rsidRDefault="009A6477" w:rsidP="00DE5DFE">
      <w:pPr>
        <w:pStyle w:val="ListParagraph"/>
        <w:rPr>
          <w:rFonts w:ascii="Times New Roman" w:hAnsi="Times New Roman" w:cs="Times New Roman"/>
          <w:sz w:val="24"/>
          <w:szCs w:val="24"/>
        </w:rPr>
      </w:pPr>
    </w:p>
    <w:p w14:paraId="35CCCF9E" w14:textId="419FEB72" w:rsidR="00FF28E2" w:rsidRPr="00A8470C" w:rsidRDefault="0029167D" w:rsidP="00FF28E2">
      <w:pPr>
        <w:pStyle w:val="ListParagraph"/>
        <w:numPr>
          <w:ilvl w:val="0"/>
          <w:numId w:val="1"/>
        </w:numPr>
        <w:rPr>
          <w:rFonts w:ascii="Times New Roman" w:hAnsi="Times New Roman" w:cs="Times New Roman"/>
          <w:sz w:val="24"/>
          <w:szCs w:val="24"/>
        </w:rPr>
      </w:pPr>
      <w:r w:rsidRPr="00A8470C">
        <w:rPr>
          <w:rFonts w:ascii="Times New Roman" w:hAnsi="Times New Roman" w:cs="Times New Roman"/>
          <w:sz w:val="24"/>
          <w:szCs w:val="24"/>
        </w:rPr>
        <w:t>Formula for the present value of expected free cash</w:t>
      </w:r>
    </w:p>
    <w:p w14:paraId="2F1840EB" w14:textId="0F9E0ABC" w:rsidR="0029167D" w:rsidRPr="00A8470C" w:rsidRDefault="0029167D" w:rsidP="0029167D">
      <w:pPr>
        <w:pStyle w:val="ListParagraph"/>
        <w:rPr>
          <w:rFonts w:ascii="Times New Roman" w:eastAsiaTheme="minorEastAsia" w:hAnsi="Times New Roman" w:cs="Times New Roman"/>
          <w:sz w:val="24"/>
          <w:szCs w:val="24"/>
        </w:rPr>
      </w:pPr>
      <w:r w:rsidRPr="00A8470C">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op</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FCF</m:t>
                </m:r>
              </m:e>
              <m:sub>
                <m:r>
                  <w:rPr>
                    <w:rFonts w:ascii="Cambria Math" w:hAnsi="Cambria Math" w:cs="Times New Roman"/>
                    <w:sz w:val="24"/>
                    <w:szCs w:val="24"/>
                  </w:rPr>
                  <m:t>1</m:t>
                </m:r>
              </m:sub>
            </m:sSub>
          </m:num>
          <m:den>
            <m:r>
              <w:rPr>
                <w:rFonts w:ascii="Cambria Math" w:hAnsi="Cambria Math" w:cs="Times New Roman"/>
                <w:sz w:val="24"/>
                <w:szCs w:val="24"/>
              </w:rPr>
              <m:t xml:space="preserve">WACC- </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L</m:t>
                </m:r>
              </m:sub>
            </m:sSub>
          </m:den>
        </m:f>
      </m:oMath>
    </w:p>
    <w:p w14:paraId="3D0E8C30" w14:textId="5A7BA7B9" w:rsidR="0029167D" w:rsidRPr="00A8470C" w:rsidRDefault="0029167D" w:rsidP="0029167D">
      <w:pPr>
        <w:pStyle w:val="ListParagraph"/>
        <w:rPr>
          <w:rFonts w:ascii="Times New Roman" w:eastAsiaTheme="minorEastAsia" w:hAnsi="Times New Roman" w:cs="Times New Roman"/>
          <w:sz w:val="24"/>
          <w:szCs w:val="24"/>
        </w:rPr>
      </w:pPr>
      <w:r w:rsidRPr="00A8470C">
        <w:rPr>
          <w:rFonts w:ascii="Times New Roman" w:eastAsiaTheme="minorEastAsia" w:hAnsi="Times New Roman" w:cs="Times New Roman"/>
          <w:sz w:val="24"/>
          <w:szCs w:val="24"/>
        </w:rPr>
        <w:t>Present value of expected free cash flows when discounted at the WACC</w:t>
      </w:r>
    </w:p>
    <w:p w14:paraId="54DE4577" w14:textId="77777777" w:rsidR="0029167D" w:rsidRPr="00A8470C" w:rsidRDefault="0029167D" w:rsidP="0029167D">
      <w:pPr>
        <w:pStyle w:val="ListParagraph"/>
        <w:rPr>
          <w:rFonts w:ascii="Times New Roman" w:eastAsiaTheme="minorEastAsia" w:hAnsi="Times New Roman" w:cs="Times New Roman"/>
          <w:sz w:val="24"/>
          <w:szCs w:val="24"/>
        </w:rPr>
      </w:pPr>
    </w:p>
    <w:p w14:paraId="17D4D64D" w14:textId="3BA0F693" w:rsidR="0029167D" w:rsidRPr="00A8470C" w:rsidRDefault="0029167D" w:rsidP="0029167D">
      <w:pPr>
        <w:pStyle w:val="ListParagraph"/>
        <w:rPr>
          <w:rFonts w:ascii="Times New Roman" w:eastAsiaTheme="minorEastAsia" w:hAnsi="Times New Roman" w:cs="Times New Roman"/>
          <w:sz w:val="24"/>
          <w:szCs w:val="24"/>
        </w:rPr>
      </w:pPr>
      <w:r w:rsidRPr="00A8470C">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op</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FCF</m:t>
                </m:r>
              </m:e>
              <m:sub>
                <m:r>
                  <w:rPr>
                    <w:rFonts w:ascii="Cambria Math" w:hAnsi="Cambria Math" w:cs="Times New Roman"/>
                    <w:sz w:val="24"/>
                    <w:szCs w:val="24"/>
                  </w:rPr>
                  <m:t>0</m:t>
                </m:r>
              </m:sub>
            </m:sSub>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L</m:t>
                </m:r>
              </m:sub>
            </m:sSub>
            <m:r>
              <w:rPr>
                <w:rFonts w:ascii="Cambria Math" w:hAnsi="Cambria Math" w:cs="Times New Roman"/>
                <w:sz w:val="24"/>
                <w:szCs w:val="24"/>
              </w:rPr>
              <m:t>)</m:t>
            </m:r>
          </m:num>
          <m:den>
            <m:r>
              <w:rPr>
                <w:rFonts w:ascii="Cambria Math" w:hAnsi="Cambria Math" w:cs="Times New Roman"/>
                <w:sz w:val="24"/>
                <w:szCs w:val="24"/>
              </w:rPr>
              <m:t xml:space="preserve">WACC- </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L</m:t>
                </m:r>
              </m:sub>
            </m:sSub>
          </m:den>
        </m:f>
      </m:oMath>
    </w:p>
    <w:p w14:paraId="09235D0F" w14:textId="77777777" w:rsidR="00A8470C" w:rsidRPr="00A8470C" w:rsidRDefault="00A8470C" w:rsidP="0029167D">
      <w:pPr>
        <w:pStyle w:val="ListParagraph"/>
        <w:rPr>
          <w:rFonts w:ascii="Times New Roman" w:hAnsi="Times New Roman" w:cs="Times New Roman"/>
          <w:sz w:val="24"/>
          <w:szCs w:val="24"/>
        </w:rPr>
      </w:pPr>
    </w:p>
    <w:p w14:paraId="2CB5BF13" w14:textId="77777777" w:rsidR="00A8470C" w:rsidRPr="00A8470C" w:rsidRDefault="00A8470C" w:rsidP="0029167D">
      <w:pPr>
        <w:pStyle w:val="ListParagraph"/>
        <w:rPr>
          <w:rFonts w:ascii="Times New Roman" w:hAnsi="Times New Roman" w:cs="Times New Roman"/>
          <w:sz w:val="24"/>
          <w:szCs w:val="24"/>
        </w:rPr>
      </w:pPr>
    </w:p>
    <w:p w14:paraId="536FFF56" w14:textId="7D5495B0" w:rsidR="00A8470C" w:rsidRPr="00563138" w:rsidRDefault="00A8470C" w:rsidP="0029167D">
      <w:pPr>
        <w:pStyle w:val="ListParagraph"/>
        <w:rPr>
          <w:rFonts w:ascii="Times New Roman" w:hAnsi="Times New Roman" w:cs="Times New Roman"/>
          <w:b/>
          <w:sz w:val="24"/>
          <w:szCs w:val="24"/>
        </w:rPr>
      </w:pPr>
      <w:r w:rsidRPr="00563138">
        <w:rPr>
          <w:rFonts w:ascii="Times New Roman" w:hAnsi="Times New Roman" w:cs="Times New Roman"/>
          <w:b/>
          <w:sz w:val="24"/>
          <w:szCs w:val="24"/>
        </w:rPr>
        <w:t xml:space="preserve">Report on potential ethical issues </w:t>
      </w:r>
    </w:p>
    <w:p w14:paraId="41EFDA01" w14:textId="77777777" w:rsidR="00444B68" w:rsidRDefault="00A8470C" w:rsidP="00563138">
      <w:pPr>
        <w:pStyle w:val="ListParagraph"/>
        <w:ind w:firstLine="720"/>
        <w:jc w:val="both"/>
        <w:rPr>
          <w:rFonts w:ascii="Times New Roman" w:hAnsi="Times New Roman" w:cs="Times New Roman"/>
          <w:sz w:val="24"/>
          <w:szCs w:val="24"/>
        </w:rPr>
      </w:pPr>
      <w:r>
        <w:rPr>
          <w:rFonts w:ascii="Times New Roman" w:hAnsi="Times New Roman" w:cs="Times New Roman"/>
          <w:sz w:val="24"/>
          <w:szCs w:val="24"/>
        </w:rPr>
        <w:t xml:space="preserve">Expansion is a strategy that is adopted by the fast growing organizations. This may be due to increased productivity and the desire to tap new markets. A well calculated expansion move can work well to the benefit of the entire organization. However, due to poor planning and lack of proper expansion mechanisms, business expansion can be detrimental to the organizational undertakings. Notably, despite the expansion goals to tap new markets, the move </w:t>
      </w:r>
      <w:r w:rsidR="00444B68">
        <w:rPr>
          <w:rFonts w:ascii="Times New Roman" w:hAnsi="Times New Roman" w:cs="Times New Roman"/>
          <w:sz w:val="24"/>
          <w:szCs w:val="24"/>
        </w:rPr>
        <w:t>may be</w:t>
      </w:r>
      <w:r>
        <w:rPr>
          <w:rFonts w:ascii="Times New Roman" w:hAnsi="Times New Roman" w:cs="Times New Roman"/>
          <w:sz w:val="24"/>
          <w:szCs w:val="24"/>
        </w:rPr>
        <w:t xml:space="preserve"> detrimental to the employers and </w:t>
      </w:r>
      <w:r w:rsidR="00444B68">
        <w:rPr>
          <w:rFonts w:ascii="Times New Roman" w:hAnsi="Times New Roman" w:cs="Times New Roman"/>
          <w:sz w:val="24"/>
          <w:szCs w:val="24"/>
        </w:rPr>
        <w:t xml:space="preserve">employees on the same measure. Poor planning may result to inadequate resources, workers being subjected to long working hours and poor working conditions. Consequently, due to poor working environment, the quality of the service provided may go down with employees becoming demotivated. They develop laxity culture and do not employ innovative skills in their undertakings. </w:t>
      </w:r>
    </w:p>
    <w:p w14:paraId="3240DC6A" w14:textId="72101604" w:rsidR="00A8470C" w:rsidRDefault="00444B68" w:rsidP="00563138">
      <w:pPr>
        <w:pStyle w:val="ListParagraph"/>
        <w:ind w:firstLine="720"/>
        <w:jc w:val="both"/>
        <w:rPr>
          <w:rFonts w:ascii="Times New Roman" w:hAnsi="Times New Roman" w:cs="Times New Roman"/>
          <w:sz w:val="24"/>
          <w:szCs w:val="24"/>
        </w:rPr>
      </w:pPr>
      <w:r>
        <w:rPr>
          <w:rFonts w:ascii="Times New Roman" w:hAnsi="Times New Roman" w:cs="Times New Roman"/>
          <w:sz w:val="24"/>
          <w:szCs w:val="24"/>
        </w:rPr>
        <w:t xml:space="preserve">Additionally, in the process of expansion, there might be a clash between the management and the regulatory authorities. In such a situation, the management might be tempted to pay some amount of money to seek some favor from the authorities. Interestingly the amount paid is not stipulated on the regulatory framework but it’s aimed to seek for some unmerited favor which amounts to corruption.  </w:t>
      </w:r>
      <w:r w:rsidR="00563138">
        <w:rPr>
          <w:rFonts w:ascii="Times New Roman" w:hAnsi="Times New Roman" w:cs="Times New Roman"/>
          <w:sz w:val="24"/>
          <w:szCs w:val="24"/>
        </w:rPr>
        <w:t xml:space="preserve">Lastly, in most of the companies that discharge harmful substances to the environ, most of them ignore set </w:t>
      </w:r>
      <w:r w:rsidR="00563138">
        <w:rPr>
          <w:rFonts w:ascii="Times New Roman" w:hAnsi="Times New Roman" w:cs="Times New Roman"/>
          <w:sz w:val="24"/>
          <w:szCs w:val="24"/>
        </w:rPr>
        <w:lastRenderedPageBreak/>
        <w:t>pollution regulations and end up paying small token to authorities to be allowed to continue manufacturing processes.</w:t>
      </w:r>
    </w:p>
    <w:p w14:paraId="25B6D4D7" w14:textId="75235510" w:rsidR="00563138" w:rsidRPr="00A8470C" w:rsidRDefault="00563138" w:rsidP="00563138">
      <w:pPr>
        <w:pStyle w:val="ListParagraph"/>
        <w:ind w:firstLine="720"/>
        <w:jc w:val="both"/>
        <w:rPr>
          <w:rFonts w:ascii="Times New Roman" w:hAnsi="Times New Roman" w:cs="Times New Roman"/>
          <w:sz w:val="24"/>
          <w:szCs w:val="24"/>
        </w:rPr>
      </w:pPr>
      <w:r>
        <w:rPr>
          <w:rFonts w:ascii="Times New Roman" w:hAnsi="Times New Roman" w:cs="Times New Roman"/>
          <w:sz w:val="24"/>
          <w:szCs w:val="24"/>
        </w:rPr>
        <w:t xml:space="preserve">Never the less, due to the benefits that are attributable to expansion such as increased market share, economies of scale and enhanced efficiency, it is important for the organizations to first strategize through evaluating their target clients. Additionally, well laid down policy on the recruitment processes, core values, mission and vision statement should clearly formulated and implemented. Additionally, in regards to pollution, it is wise for the organization to conduct health hazards evaluation and environment effect of their activities. If found that their activities will result in heavy pollution, proper mechanisms </w:t>
      </w:r>
      <w:bookmarkStart w:id="0" w:name="_GoBack"/>
      <w:bookmarkEnd w:id="0"/>
      <w:r>
        <w:rPr>
          <w:rFonts w:ascii="Times New Roman" w:hAnsi="Times New Roman" w:cs="Times New Roman"/>
          <w:sz w:val="24"/>
          <w:szCs w:val="24"/>
        </w:rPr>
        <w:t xml:space="preserve">should be put in place to treat the waste before being discharged to the environment. </w:t>
      </w:r>
    </w:p>
    <w:sectPr w:rsidR="00563138" w:rsidRPr="00A847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62A4E"/>
    <w:multiLevelType w:val="hybridMultilevel"/>
    <w:tmpl w:val="6FE65A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DD2"/>
    <w:rsid w:val="00082B04"/>
    <w:rsid w:val="001D20A6"/>
    <w:rsid w:val="0021680B"/>
    <w:rsid w:val="002823CF"/>
    <w:rsid w:val="0029167D"/>
    <w:rsid w:val="00444B68"/>
    <w:rsid w:val="004971D4"/>
    <w:rsid w:val="004E499E"/>
    <w:rsid w:val="00563138"/>
    <w:rsid w:val="008B3952"/>
    <w:rsid w:val="00995B84"/>
    <w:rsid w:val="009A25C8"/>
    <w:rsid w:val="009A6477"/>
    <w:rsid w:val="009E1DD2"/>
    <w:rsid w:val="00A8470C"/>
    <w:rsid w:val="00DE5DFE"/>
    <w:rsid w:val="00FF2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84225"/>
  <w15:chartTrackingRefBased/>
  <w15:docId w15:val="{7D0B3BEE-B987-4F0C-AA9B-764CC2BD4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1DD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E1DD2"/>
    <w:rPr>
      <w:i/>
      <w:iCs/>
    </w:rPr>
  </w:style>
  <w:style w:type="paragraph" w:styleId="ListParagraph">
    <w:name w:val="List Paragraph"/>
    <w:basedOn w:val="Normal"/>
    <w:uiPriority w:val="34"/>
    <w:qFormat/>
    <w:rsid w:val="001D20A6"/>
    <w:pPr>
      <w:ind w:left="720"/>
      <w:contextualSpacing/>
    </w:pPr>
  </w:style>
  <w:style w:type="character" w:styleId="PlaceholderText">
    <w:name w:val="Placeholder Text"/>
    <w:basedOn w:val="DefaultParagraphFont"/>
    <w:uiPriority w:val="99"/>
    <w:semiHidden/>
    <w:rsid w:val="0029167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115553">
      <w:bodyDiv w:val="1"/>
      <w:marLeft w:val="0"/>
      <w:marRight w:val="0"/>
      <w:marTop w:val="0"/>
      <w:marBottom w:val="0"/>
      <w:divBdr>
        <w:top w:val="none" w:sz="0" w:space="0" w:color="auto"/>
        <w:left w:val="none" w:sz="0" w:space="0" w:color="auto"/>
        <w:bottom w:val="none" w:sz="0" w:space="0" w:color="auto"/>
        <w:right w:val="none" w:sz="0" w:space="0" w:color="auto"/>
      </w:divBdr>
      <w:divsChild>
        <w:div w:id="441994709">
          <w:marLeft w:val="0"/>
          <w:marRight w:val="0"/>
          <w:marTop w:val="180"/>
          <w:marBottom w:val="270"/>
          <w:divBdr>
            <w:top w:val="single" w:sz="6" w:space="0" w:color="E3E3E3"/>
            <w:left w:val="single" w:sz="6" w:space="0" w:color="E3E3E3"/>
            <w:bottom w:val="single" w:sz="6" w:space="0" w:color="E3E3E3"/>
            <w:right w:val="single" w:sz="6" w:space="0" w:color="E3E3E3"/>
          </w:divBdr>
          <w:divsChild>
            <w:div w:id="71508728">
              <w:marLeft w:val="0"/>
              <w:marRight w:val="0"/>
              <w:marTop w:val="0"/>
              <w:marBottom w:val="0"/>
              <w:divBdr>
                <w:top w:val="none" w:sz="0" w:space="0" w:color="auto"/>
                <w:left w:val="none" w:sz="0" w:space="0" w:color="auto"/>
                <w:bottom w:val="none" w:sz="0" w:space="0" w:color="auto"/>
                <w:right w:val="none" w:sz="0" w:space="0" w:color="auto"/>
              </w:divBdr>
              <w:divsChild>
                <w:div w:id="1074471226">
                  <w:marLeft w:val="0"/>
                  <w:marRight w:val="0"/>
                  <w:marTop w:val="0"/>
                  <w:marBottom w:val="0"/>
                  <w:divBdr>
                    <w:top w:val="none" w:sz="0" w:space="0" w:color="auto"/>
                    <w:left w:val="none" w:sz="0" w:space="0" w:color="auto"/>
                    <w:bottom w:val="none" w:sz="0" w:space="0" w:color="auto"/>
                    <w:right w:val="none" w:sz="0" w:space="0" w:color="auto"/>
                  </w:divBdr>
                </w:div>
                <w:div w:id="118733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28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esktop\DATA%20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esktop\DATA%20R.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Hypothetical Company's Total Value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5E64-490A-B495-87BB6A605A51}"/>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5E64-490A-B495-87BB6A605A5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Sheet2!$A$2:$A$3</c:f>
              <c:strCache>
                <c:ptCount val="2"/>
                <c:pt idx="0">
                  <c:v>free cashflow</c:v>
                </c:pt>
                <c:pt idx="1">
                  <c:v>short term investment</c:v>
                </c:pt>
              </c:strCache>
            </c:strRef>
          </c:cat>
          <c:val>
            <c:numRef>
              <c:f>Sheet2!$B$2:$B$3</c:f>
              <c:numCache>
                <c:formatCode>General</c:formatCode>
                <c:ptCount val="2"/>
                <c:pt idx="0">
                  <c:v>24</c:v>
                </c:pt>
                <c:pt idx="1">
                  <c:v>50</c:v>
                </c:pt>
              </c:numCache>
            </c:numRef>
          </c:val>
          <c:extLst xmlns:c16r2="http://schemas.microsoft.com/office/drawing/2015/06/chart">
            <c:ext xmlns:c16="http://schemas.microsoft.com/office/drawing/2014/chart" uri="{C3380CC4-5D6E-409C-BE32-E72D297353CC}">
              <c16:uniqueId val="{00000004-5E64-490A-B495-87BB6A605A51}"/>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Claim on Company's Value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505-49BC-BA65-5D60906A8E89}"/>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505-49BC-BA65-5D60906A8E89}"/>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505-49BC-BA65-5D60906A8E8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Sheet2!$A$20:$A$22</c:f>
              <c:strCache>
                <c:ptCount val="3"/>
                <c:pt idx="0">
                  <c:v>shortterm investments</c:v>
                </c:pt>
                <c:pt idx="1">
                  <c:v>debt</c:v>
                </c:pt>
                <c:pt idx="2">
                  <c:v>preferred stock</c:v>
                </c:pt>
              </c:strCache>
            </c:strRef>
          </c:cat>
          <c:val>
            <c:numRef>
              <c:f>Sheet2!$B$20:$B$22</c:f>
              <c:numCache>
                <c:formatCode>General</c:formatCode>
                <c:ptCount val="3"/>
                <c:pt idx="0">
                  <c:v>100</c:v>
                </c:pt>
                <c:pt idx="1">
                  <c:v>200</c:v>
                </c:pt>
                <c:pt idx="2">
                  <c:v>50</c:v>
                </c:pt>
              </c:numCache>
            </c:numRef>
          </c:val>
          <c:extLst xmlns:c16r2="http://schemas.microsoft.com/office/drawing/2015/06/chart">
            <c:ext xmlns:c16="http://schemas.microsoft.com/office/drawing/2014/chart" uri="{C3380CC4-5D6E-409C-BE32-E72D297353CC}">
              <c16:uniqueId val="{00000006-B505-49BC-BA65-5D60906A8E89}"/>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Ruiz</dc:creator>
  <cp:keywords/>
  <dc:description/>
  <cp:lastModifiedBy>Prof Scofied</cp:lastModifiedBy>
  <cp:revision>2</cp:revision>
  <dcterms:created xsi:type="dcterms:W3CDTF">2018-12-04T02:08:00Z</dcterms:created>
  <dcterms:modified xsi:type="dcterms:W3CDTF">2018-12-04T02:08:00Z</dcterms:modified>
</cp:coreProperties>
</file>